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5A7" w14:textId="15B5B9DA" w:rsidR="003E424E" w:rsidRPr="004835C8" w:rsidRDefault="003E424E" w:rsidP="003E424E">
      <w:pPr>
        <w:jc w:val="center"/>
        <w:rPr>
          <w:b/>
        </w:rPr>
      </w:pPr>
      <w:r w:rsidRPr="003E424E">
        <w:rPr>
          <w:b/>
        </w:rPr>
        <w:t xml:space="preserve"> </w:t>
      </w:r>
      <w:r w:rsidRPr="004835C8">
        <w:rPr>
          <w:b/>
        </w:rPr>
        <w:t>Invitation to Tender</w:t>
      </w:r>
    </w:p>
    <w:p w14:paraId="5FE6A0FD" w14:textId="77777777" w:rsidR="003E424E" w:rsidRPr="001F029A" w:rsidRDefault="003E424E" w:rsidP="003E424E">
      <w:pPr>
        <w:jc w:val="center"/>
        <w:rPr>
          <w:b/>
        </w:rPr>
      </w:pPr>
      <w:r w:rsidRPr="001F029A">
        <w:rPr>
          <w:b/>
        </w:rPr>
        <w:t>National Parks and Wildlife Services</w:t>
      </w:r>
    </w:p>
    <w:p w14:paraId="2DBAE207" w14:textId="21ED517B" w:rsidR="003E424E" w:rsidRDefault="003E424E" w:rsidP="003E424E">
      <w:pPr>
        <w:jc w:val="center"/>
        <w:rPr>
          <w:b/>
        </w:rPr>
      </w:pPr>
      <w:r>
        <w:rPr>
          <w:b/>
        </w:rPr>
        <w:t xml:space="preserve">Refurbishment of Cottage No. </w:t>
      </w:r>
      <w:r w:rsidR="00AE5177">
        <w:rPr>
          <w:b/>
        </w:rPr>
        <w:t>16</w:t>
      </w:r>
      <w:r>
        <w:rPr>
          <w:b/>
        </w:rPr>
        <w:t xml:space="preserve"> (Mulligan’s Cottage)</w:t>
      </w:r>
    </w:p>
    <w:p w14:paraId="51F60FCA" w14:textId="67C8AB2C" w:rsidR="003E424E" w:rsidRPr="003E424E" w:rsidRDefault="003E424E" w:rsidP="003E424E">
      <w:pPr>
        <w:pStyle w:val="ListParagraph"/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3E424E">
        <w:rPr>
          <w:rFonts w:ascii="Calibri" w:hAnsi="Calibri" w:cs="Calibri"/>
          <w:b/>
          <w:sz w:val="22"/>
          <w:szCs w:val="22"/>
        </w:rPr>
        <w:t>Introduction</w:t>
      </w:r>
    </w:p>
    <w:p w14:paraId="0EA725F5" w14:textId="4C729918" w:rsidR="003E424E" w:rsidRPr="003E424E" w:rsidRDefault="003E424E" w:rsidP="003E424E">
      <w:pPr>
        <w:pStyle w:val="ListParagraph"/>
        <w:ind w:left="0"/>
        <w:rPr>
          <w:rFonts w:ascii="Calibri" w:hAnsi="Calibri" w:cs="Calibri"/>
          <w:b/>
          <w:sz w:val="22"/>
          <w:szCs w:val="22"/>
        </w:rPr>
      </w:pPr>
      <w:r w:rsidRPr="003E424E">
        <w:rPr>
          <w:rFonts w:ascii="Calibri" w:hAnsi="Calibri" w:cs="Calibri"/>
          <w:sz w:val="22"/>
          <w:szCs w:val="22"/>
        </w:rPr>
        <w:t>Killarney National Park (KNP)</w:t>
      </w:r>
      <w:r>
        <w:rPr>
          <w:rFonts w:ascii="Calibri" w:hAnsi="Calibri" w:cs="Calibri"/>
          <w:sz w:val="22"/>
          <w:szCs w:val="22"/>
        </w:rPr>
        <w:t xml:space="preserve"> is </w:t>
      </w:r>
      <w:r w:rsidR="00876DCD">
        <w:rPr>
          <w:rFonts w:ascii="Calibri" w:hAnsi="Calibri" w:cs="Calibri"/>
          <w:sz w:val="22"/>
          <w:szCs w:val="22"/>
        </w:rPr>
        <w:t xml:space="preserve">invites </w:t>
      </w:r>
      <w:r>
        <w:rPr>
          <w:rFonts w:ascii="Calibri" w:hAnsi="Calibri" w:cs="Calibri"/>
          <w:sz w:val="22"/>
          <w:szCs w:val="22"/>
        </w:rPr>
        <w:t xml:space="preserve">competent building contractors, with experience in restoration of old buildings of historical and architectural merit, to </w:t>
      </w:r>
      <w:r w:rsidR="00876DCD">
        <w:rPr>
          <w:rFonts w:ascii="Calibri" w:hAnsi="Calibri" w:cs="Calibri"/>
          <w:sz w:val="22"/>
          <w:szCs w:val="22"/>
        </w:rPr>
        <w:t>tender for the</w:t>
      </w:r>
      <w:r>
        <w:rPr>
          <w:rFonts w:ascii="Calibri" w:hAnsi="Calibri" w:cs="Calibri"/>
          <w:sz w:val="22"/>
          <w:szCs w:val="22"/>
        </w:rPr>
        <w:t xml:space="preserve"> full architectural/mechanical/electrical refurbishment of Cottage </w:t>
      </w:r>
      <w:r w:rsidR="00876DCD"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 xml:space="preserve">o. </w:t>
      </w:r>
      <w:r w:rsidR="004A3512">
        <w:rPr>
          <w:rFonts w:ascii="Calibri" w:hAnsi="Calibri" w:cs="Calibri"/>
          <w:sz w:val="22"/>
          <w:szCs w:val="22"/>
        </w:rPr>
        <w:t>16</w:t>
      </w:r>
      <w:r>
        <w:rPr>
          <w:rFonts w:ascii="Calibri" w:hAnsi="Calibri" w:cs="Calibri"/>
          <w:sz w:val="22"/>
          <w:szCs w:val="22"/>
        </w:rPr>
        <w:t xml:space="preserve"> </w:t>
      </w:r>
      <w:r w:rsidR="00876DCD">
        <w:rPr>
          <w:rFonts w:ascii="Calibri" w:hAnsi="Calibri" w:cs="Calibri"/>
          <w:sz w:val="22"/>
          <w:szCs w:val="22"/>
        </w:rPr>
        <w:t xml:space="preserve">at </w:t>
      </w:r>
      <w:proofErr w:type="spellStart"/>
      <w:r w:rsidR="00876DCD">
        <w:rPr>
          <w:rFonts w:ascii="Calibri" w:hAnsi="Calibri" w:cs="Calibri"/>
          <w:sz w:val="22"/>
          <w:szCs w:val="22"/>
        </w:rPr>
        <w:t>Muckross</w:t>
      </w:r>
      <w:proofErr w:type="spellEnd"/>
      <w:r w:rsidR="00876DCD">
        <w:rPr>
          <w:rFonts w:ascii="Calibri" w:hAnsi="Calibri" w:cs="Calibri"/>
          <w:sz w:val="22"/>
          <w:szCs w:val="22"/>
        </w:rPr>
        <w:t>, on the N71, Killarney Kenmare route</w:t>
      </w:r>
      <w:r w:rsidRPr="003E424E">
        <w:rPr>
          <w:rFonts w:ascii="Calibri" w:hAnsi="Calibri" w:cs="Calibri"/>
          <w:sz w:val="22"/>
          <w:szCs w:val="22"/>
        </w:rPr>
        <w:t xml:space="preserve"> </w:t>
      </w:r>
    </w:p>
    <w:p w14:paraId="41A3FA13" w14:textId="6880876F" w:rsidR="003E424E" w:rsidRPr="003E424E" w:rsidRDefault="003E424E" w:rsidP="003E424E">
      <w:pPr>
        <w:pStyle w:val="Default"/>
        <w:rPr>
          <w:b/>
          <w:bCs/>
          <w:sz w:val="22"/>
          <w:szCs w:val="22"/>
        </w:rPr>
      </w:pPr>
      <w:r w:rsidRPr="003E424E">
        <w:rPr>
          <w:b/>
          <w:bCs/>
          <w:sz w:val="22"/>
          <w:szCs w:val="22"/>
        </w:rPr>
        <w:t>2.0 Cottage Description</w:t>
      </w:r>
    </w:p>
    <w:p w14:paraId="4C179732" w14:textId="65263959" w:rsidR="003E424E" w:rsidRPr="003E424E" w:rsidRDefault="003E424E" w:rsidP="003E424E">
      <w:pPr>
        <w:pStyle w:val="Default"/>
        <w:rPr>
          <w:sz w:val="22"/>
          <w:szCs w:val="22"/>
        </w:rPr>
      </w:pPr>
      <w:proofErr w:type="spellStart"/>
      <w:r w:rsidRPr="003E424E">
        <w:rPr>
          <w:sz w:val="22"/>
          <w:szCs w:val="22"/>
        </w:rPr>
        <w:t>Muckoss</w:t>
      </w:r>
      <w:proofErr w:type="spellEnd"/>
      <w:r w:rsidRPr="003E424E">
        <w:rPr>
          <w:sz w:val="22"/>
          <w:szCs w:val="22"/>
        </w:rPr>
        <w:t xml:space="preserve"> Cottage No </w:t>
      </w:r>
      <w:r w:rsidR="004A3512">
        <w:rPr>
          <w:sz w:val="22"/>
          <w:szCs w:val="22"/>
        </w:rPr>
        <w:t>16</w:t>
      </w:r>
      <w:r w:rsidRPr="003E424E">
        <w:rPr>
          <w:sz w:val="22"/>
          <w:szCs w:val="22"/>
        </w:rPr>
        <w:t xml:space="preserve"> is an existing </w:t>
      </w:r>
      <w:r w:rsidR="0041529F">
        <w:rPr>
          <w:sz w:val="22"/>
          <w:szCs w:val="22"/>
        </w:rPr>
        <w:t>dormer</w:t>
      </w:r>
      <w:r w:rsidRPr="003E424E">
        <w:rPr>
          <w:sz w:val="22"/>
          <w:szCs w:val="22"/>
        </w:rPr>
        <w:t xml:space="preserve"> semi</w:t>
      </w:r>
      <w:r>
        <w:rPr>
          <w:sz w:val="22"/>
          <w:szCs w:val="22"/>
        </w:rPr>
        <w:t>-</w:t>
      </w:r>
      <w:r w:rsidRPr="003E424E">
        <w:rPr>
          <w:sz w:val="22"/>
          <w:szCs w:val="22"/>
        </w:rPr>
        <w:t>detached residential property</w:t>
      </w:r>
      <w:r w:rsidR="00876DCD">
        <w:rPr>
          <w:sz w:val="22"/>
          <w:szCs w:val="22"/>
        </w:rPr>
        <w:t>, of architectural and heritage merit, although it is not a listed structure</w:t>
      </w:r>
      <w:r w:rsidRPr="003E424E">
        <w:rPr>
          <w:sz w:val="22"/>
          <w:szCs w:val="22"/>
        </w:rPr>
        <w:t xml:space="preserve">. It is located on the N71, adjacent to the National Park Ranger/Farm and close to the main entrance to </w:t>
      </w:r>
      <w:proofErr w:type="spellStart"/>
      <w:r w:rsidRPr="003E424E">
        <w:rPr>
          <w:sz w:val="22"/>
          <w:szCs w:val="22"/>
        </w:rPr>
        <w:t>Muckross</w:t>
      </w:r>
      <w:proofErr w:type="spellEnd"/>
      <w:r w:rsidRPr="003E424E">
        <w:rPr>
          <w:sz w:val="22"/>
          <w:szCs w:val="22"/>
        </w:rPr>
        <w:t xml:space="preserve"> House and Gardens. The building was constructed </w:t>
      </w:r>
      <w:r w:rsidR="0041529F">
        <w:rPr>
          <w:sz w:val="22"/>
          <w:szCs w:val="22"/>
        </w:rPr>
        <w:t xml:space="preserve">circa </w:t>
      </w:r>
      <w:r w:rsidRPr="003E424E">
        <w:rPr>
          <w:sz w:val="22"/>
          <w:szCs w:val="22"/>
        </w:rPr>
        <w:t xml:space="preserve">in </w:t>
      </w:r>
      <w:r w:rsidR="002842C4">
        <w:rPr>
          <w:sz w:val="22"/>
          <w:szCs w:val="22"/>
        </w:rPr>
        <w:t>the mid-</w:t>
      </w:r>
      <w:r w:rsidRPr="003E424E">
        <w:rPr>
          <w:sz w:val="22"/>
          <w:szCs w:val="22"/>
        </w:rPr>
        <w:t>18</w:t>
      </w:r>
      <w:r w:rsidR="002842C4">
        <w:rPr>
          <w:sz w:val="22"/>
          <w:szCs w:val="22"/>
        </w:rPr>
        <w:t>00’s</w:t>
      </w:r>
      <w:r w:rsidRPr="003E424E">
        <w:rPr>
          <w:sz w:val="22"/>
          <w:szCs w:val="22"/>
        </w:rPr>
        <w:t>. At some stage in the recent pas</w:t>
      </w:r>
      <w:r w:rsidR="00F0024D">
        <w:rPr>
          <w:sz w:val="22"/>
          <w:szCs w:val="22"/>
        </w:rPr>
        <w:t>t</w:t>
      </w:r>
      <w:r w:rsidRPr="003E424E">
        <w:rPr>
          <w:sz w:val="22"/>
          <w:szCs w:val="22"/>
        </w:rPr>
        <w:t xml:space="preserve"> a single storey flat roof extension was constructed to the rear of the dwelling. There is a stand-alone small storage shed to the rear of the site. </w:t>
      </w:r>
    </w:p>
    <w:p w14:paraId="25E0F648" w14:textId="3B0911F8" w:rsidR="005E6C57" w:rsidRDefault="003E424E" w:rsidP="003E424E">
      <w:pPr>
        <w:rPr>
          <w:rFonts w:ascii="Calibri" w:hAnsi="Calibri" w:cs="Calibri"/>
          <w:sz w:val="22"/>
          <w:szCs w:val="22"/>
        </w:rPr>
      </w:pPr>
      <w:r w:rsidRPr="003E424E">
        <w:rPr>
          <w:rFonts w:ascii="Calibri" w:hAnsi="Calibri" w:cs="Calibri"/>
          <w:sz w:val="22"/>
          <w:szCs w:val="22"/>
        </w:rPr>
        <w:t xml:space="preserve">The building is of traditional construction methods. The external walls are of random rubble masonry construction and load bearing. The ground floor is concrete and is ground bearing. The first/attic floor is construction from timber joists overlaid with a T&amp;G softwood board. The main roof is a traditional cut timber rafter supported on timber purlins, in turn supported on timber trusses. The roof is finished with a natural quarry slate. </w:t>
      </w:r>
      <w:r w:rsidR="00D02C22">
        <w:rPr>
          <w:rFonts w:ascii="Calibri" w:hAnsi="Calibri" w:cs="Calibri"/>
          <w:sz w:val="22"/>
          <w:szCs w:val="22"/>
        </w:rPr>
        <w:t>The roof has dormer window</w:t>
      </w:r>
      <w:r w:rsidR="00D271FD">
        <w:rPr>
          <w:rFonts w:ascii="Calibri" w:hAnsi="Calibri" w:cs="Calibri"/>
          <w:sz w:val="22"/>
          <w:szCs w:val="22"/>
        </w:rPr>
        <w:t xml:space="preserve"> at the </w:t>
      </w:r>
      <w:r w:rsidR="00D02C22">
        <w:rPr>
          <w:rFonts w:ascii="Calibri" w:hAnsi="Calibri" w:cs="Calibri"/>
          <w:sz w:val="22"/>
          <w:szCs w:val="22"/>
        </w:rPr>
        <w:t>front</w:t>
      </w:r>
      <w:r w:rsidR="00D271FD">
        <w:rPr>
          <w:rFonts w:ascii="Calibri" w:hAnsi="Calibri" w:cs="Calibri"/>
          <w:sz w:val="22"/>
          <w:szCs w:val="22"/>
        </w:rPr>
        <w:t>.</w:t>
      </w:r>
    </w:p>
    <w:p w14:paraId="474F2F3B" w14:textId="0726E1AF" w:rsidR="003E424E" w:rsidRPr="003E424E" w:rsidRDefault="003E424E" w:rsidP="003E424E">
      <w:pPr>
        <w:pStyle w:val="Default"/>
        <w:rPr>
          <w:b/>
          <w:bCs/>
          <w:sz w:val="22"/>
          <w:szCs w:val="22"/>
        </w:rPr>
      </w:pPr>
      <w:r w:rsidRPr="003E424E">
        <w:rPr>
          <w:b/>
          <w:bCs/>
          <w:sz w:val="22"/>
          <w:szCs w:val="22"/>
        </w:rPr>
        <w:t>3.0 Scope of Works</w:t>
      </w:r>
    </w:p>
    <w:p w14:paraId="3FCDEBDD" w14:textId="0CA0B267" w:rsidR="003E424E" w:rsidRDefault="003E424E" w:rsidP="003E424E">
      <w:pPr>
        <w:rPr>
          <w:rFonts w:ascii="Calibri" w:hAnsi="Calibri" w:cs="Calibri"/>
          <w:sz w:val="22"/>
          <w:szCs w:val="22"/>
        </w:rPr>
      </w:pPr>
      <w:r w:rsidRPr="003E424E">
        <w:rPr>
          <w:rFonts w:ascii="Calibri" w:hAnsi="Calibri" w:cs="Calibri"/>
          <w:sz w:val="22"/>
          <w:szCs w:val="22"/>
        </w:rPr>
        <w:t>The refurbishment works entrails the complete internal upgrade of the dwelling</w:t>
      </w:r>
      <w:r w:rsidR="0034443E" w:rsidRPr="0034443E">
        <w:rPr>
          <w:rFonts w:ascii="Calibri" w:hAnsi="Calibri" w:cs="Calibri"/>
          <w:sz w:val="22"/>
          <w:szCs w:val="22"/>
        </w:rPr>
        <w:t xml:space="preserve"> </w:t>
      </w:r>
      <w:r w:rsidR="0034443E" w:rsidRPr="003E424E">
        <w:rPr>
          <w:rFonts w:ascii="Calibri" w:hAnsi="Calibri" w:cs="Calibri"/>
          <w:sz w:val="22"/>
          <w:szCs w:val="22"/>
        </w:rPr>
        <w:t xml:space="preserve">and </w:t>
      </w:r>
      <w:r w:rsidR="007720A0">
        <w:rPr>
          <w:rFonts w:ascii="Calibri" w:hAnsi="Calibri" w:cs="Calibri"/>
          <w:sz w:val="22"/>
          <w:szCs w:val="22"/>
        </w:rPr>
        <w:t>the</w:t>
      </w:r>
      <w:r w:rsidR="0032314A">
        <w:rPr>
          <w:rFonts w:ascii="Calibri" w:hAnsi="Calibri" w:cs="Calibri"/>
          <w:sz w:val="22"/>
          <w:szCs w:val="22"/>
        </w:rPr>
        <w:t xml:space="preserve"> partial</w:t>
      </w:r>
      <w:r w:rsidR="007720A0">
        <w:rPr>
          <w:rFonts w:ascii="Calibri" w:hAnsi="Calibri" w:cs="Calibri"/>
          <w:sz w:val="22"/>
          <w:szCs w:val="22"/>
        </w:rPr>
        <w:t xml:space="preserve"> demolition and reconstruction of the</w:t>
      </w:r>
      <w:r w:rsidR="0034443E" w:rsidRPr="003E424E">
        <w:rPr>
          <w:rFonts w:ascii="Calibri" w:hAnsi="Calibri" w:cs="Calibri"/>
          <w:sz w:val="22"/>
          <w:szCs w:val="22"/>
        </w:rPr>
        <w:t xml:space="preserve"> </w:t>
      </w:r>
      <w:r w:rsidR="0034443E">
        <w:rPr>
          <w:rFonts w:ascii="Calibri" w:hAnsi="Calibri" w:cs="Calibri"/>
          <w:sz w:val="22"/>
          <w:szCs w:val="22"/>
        </w:rPr>
        <w:t xml:space="preserve"> flat roof section</w:t>
      </w:r>
      <w:r w:rsidR="00B9688E">
        <w:rPr>
          <w:rFonts w:ascii="Calibri" w:hAnsi="Calibri" w:cs="Calibri"/>
          <w:sz w:val="22"/>
          <w:szCs w:val="22"/>
        </w:rPr>
        <w:t>.</w:t>
      </w:r>
      <w:r w:rsidR="003A4F7C">
        <w:rPr>
          <w:rFonts w:ascii="Calibri" w:hAnsi="Calibri" w:cs="Calibri"/>
          <w:sz w:val="22"/>
          <w:szCs w:val="22"/>
        </w:rPr>
        <w:t xml:space="preserve"> An A-section </w:t>
      </w:r>
      <w:r w:rsidR="004A32F9">
        <w:rPr>
          <w:rFonts w:ascii="Calibri" w:hAnsi="Calibri" w:cs="Calibri"/>
          <w:sz w:val="22"/>
          <w:szCs w:val="22"/>
        </w:rPr>
        <w:t xml:space="preserve">extension to the roof will be required at the rear, to accommodate the </w:t>
      </w:r>
      <w:r w:rsidR="006D4BA7">
        <w:rPr>
          <w:rFonts w:ascii="Calibri" w:hAnsi="Calibri" w:cs="Calibri"/>
          <w:sz w:val="22"/>
          <w:szCs w:val="22"/>
        </w:rPr>
        <w:t xml:space="preserve">reconstructed stairwell. </w:t>
      </w:r>
      <w:r w:rsidRPr="003E424E">
        <w:rPr>
          <w:rFonts w:ascii="Calibri" w:hAnsi="Calibri" w:cs="Calibri"/>
          <w:sz w:val="22"/>
          <w:szCs w:val="22"/>
        </w:rPr>
        <w:t xml:space="preserve"> In addition, some external site works by way of hardstanding for car parking</w:t>
      </w:r>
      <w:r w:rsidR="00CB0197">
        <w:rPr>
          <w:rFonts w:ascii="Calibri" w:hAnsi="Calibri" w:cs="Calibri"/>
          <w:sz w:val="22"/>
          <w:szCs w:val="22"/>
        </w:rPr>
        <w:t xml:space="preserve"> and lowering of the surrounding ground will be necessary</w:t>
      </w:r>
      <w:r w:rsidR="00097316">
        <w:rPr>
          <w:rFonts w:ascii="Calibri" w:hAnsi="Calibri" w:cs="Calibri"/>
          <w:sz w:val="22"/>
          <w:szCs w:val="22"/>
        </w:rPr>
        <w:t>.</w:t>
      </w:r>
      <w:r w:rsidRPr="003E424E">
        <w:rPr>
          <w:rFonts w:ascii="Calibri" w:hAnsi="Calibri" w:cs="Calibri"/>
          <w:sz w:val="22"/>
          <w:szCs w:val="22"/>
        </w:rPr>
        <w:t xml:space="preserve"> A detailed scope of works is provided </w:t>
      </w:r>
      <w:r w:rsidR="00876DCD">
        <w:rPr>
          <w:rFonts w:ascii="Calibri" w:hAnsi="Calibri" w:cs="Calibri"/>
          <w:sz w:val="22"/>
          <w:szCs w:val="22"/>
        </w:rPr>
        <w:t>i</w:t>
      </w:r>
      <w:r w:rsidRPr="003E424E">
        <w:rPr>
          <w:rFonts w:ascii="Calibri" w:hAnsi="Calibri" w:cs="Calibri"/>
          <w:sz w:val="22"/>
          <w:szCs w:val="22"/>
        </w:rPr>
        <w:t>n the tender d</w:t>
      </w:r>
      <w:r w:rsidR="00097316">
        <w:rPr>
          <w:rFonts w:ascii="Calibri" w:hAnsi="Calibri" w:cs="Calibri"/>
          <w:sz w:val="22"/>
          <w:szCs w:val="22"/>
        </w:rPr>
        <w:t>ocumentation</w:t>
      </w:r>
      <w:r w:rsidRPr="003E424E">
        <w:rPr>
          <w:rFonts w:ascii="Calibri" w:hAnsi="Calibri" w:cs="Calibri"/>
          <w:sz w:val="22"/>
          <w:szCs w:val="22"/>
        </w:rPr>
        <w:t>.</w:t>
      </w:r>
    </w:p>
    <w:p w14:paraId="2F32DF30" w14:textId="65005802" w:rsidR="003F2CB9" w:rsidRDefault="003F2CB9" w:rsidP="003E424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Also note that there are two elemen</w:t>
      </w:r>
      <w:r w:rsidR="00BF6526"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 xml:space="preserve">s to the </w:t>
      </w:r>
      <w:r w:rsidR="00BF6526">
        <w:rPr>
          <w:rFonts w:ascii="Calibri" w:hAnsi="Calibri" w:cs="Calibri"/>
          <w:sz w:val="22"/>
          <w:szCs w:val="22"/>
        </w:rPr>
        <w:t xml:space="preserve">pricing structure </w:t>
      </w:r>
      <w:r w:rsidR="00B60B40">
        <w:rPr>
          <w:rFonts w:ascii="Calibri" w:hAnsi="Calibri" w:cs="Calibri"/>
          <w:sz w:val="22"/>
          <w:szCs w:val="22"/>
        </w:rPr>
        <w:t>–</w:t>
      </w:r>
      <w:r w:rsidR="00BF6526">
        <w:rPr>
          <w:rFonts w:ascii="Calibri" w:hAnsi="Calibri" w:cs="Calibri"/>
          <w:sz w:val="22"/>
          <w:szCs w:val="22"/>
        </w:rPr>
        <w:t xml:space="preserve"> </w:t>
      </w:r>
      <w:r w:rsidR="00B60B40">
        <w:rPr>
          <w:rFonts w:ascii="Calibri" w:hAnsi="Calibri" w:cs="Calibri"/>
          <w:sz w:val="22"/>
          <w:szCs w:val="22"/>
        </w:rPr>
        <w:t>a Civil BOQ and a M&amp;E pricing document.</w:t>
      </w:r>
      <w:r w:rsidR="009F58EC">
        <w:rPr>
          <w:rFonts w:ascii="Calibri" w:hAnsi="Calibri" w:cs="Calibri"/>
          <w:sz w:val="22"/>
          <w:szCs w:val="22"/>
        </w:rPr>
        <w:t xml:space="preserve"> Both must be include in the final total tender price.</w:t>
      </w:r>
    </w:p>
    <w:p w14:paraId="29A7AF2E" w14:textId="61926B54" w:rsidR="003E107B" w:rsidRPr="00F422DF" w:rsidRDefault="003E107B" w:rsidP="003E424E">
      <w:pPr>
        <w:rPr>
          <w:rFonts w:ascii="Calibri" w:hAnsi="Calibri" w:cs="Calibri"/>
          <w:b/>
          <w:bCs/>
          <w:sz w:val="22"/>
          <w:szCs w:val="22"/>
        </w:rPr>
      </w:pPr>
      <w:r w:rsidRPr="003E107B">
        <w:rPr>
          <w:rFonts w:ascii="Calibri" w:hAnsi="Calibri" w:cs="Calibri"/>
          <w:b/>
          <w:bCs/>
          <w:sz w:val="22"/>
          <w:szCs w:val="22"/>
        </w:rPr>
        <w:t>4.0 Contract Awar</w:t>
      </w:r>
      <w:r w:rsidR="00F422DF">
        <w:rPr>
          <w:rFonts w:ascii="Calibri" w:hAnsi="Calibri" w:cs="Calibri"/>
          <w:b/>
          <w:bCs/>
          <w:sz w:val="22"/>
          <w:szCs w:val="22"/>
        </w:rPr>
        <w:t xml:space="preserve">d                                                                                                                                                        </w:t>
      </w:r>
      <w:r w:rsidR="007941BE" w:rsidRPr="00E4466F">
        <w:rPr>
          <w:rFonts w:ascii="Calibri" w:hAnsi="Calibri" w:cs="Calibri"/>
          <w:sz w:val="22"/>
          <w:szCs w:val="22"/>
        </w:rPr>
        <w:t>The contract will be awarded on the basis of the Most Economical</w:t>
      </w:r>
      <w:r w:rsidR="002A6267">
        <w:rPr>
          <w:rFonts w:ascii="Calibri" w:hAnsi="Calibri" w:cs="Calibri"/>
          <w:sz w:val="22"/>
          <w:szCs w:val="22"/>
        </w:rPr>
        <w:t xml:space="preserve">ly Advantageous Tender (MEAT) basis and the </w:t>
      </w:r>
      <w:r w:rsidR="00387834">
        <w:rPr>
          <w:rFonts w:ascii="Calibri" w:hAnsi="Calibri" w:cs="Calibri"/>
          <w:sz w:val="22"/>
          <w:szCs w:val="22"/>
        </w:rPr>
        <w:t>award matrix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57FF6" w14:paraId="3C5793A6" w14:textId="77777777" w:rsidTr="00E05319">
        <w:tc>
          <w:tcPr>
            <w:tcW w:w="4508" w:type="dxa"/>
          </w:tcPr>
          <w:p w14:paraId="3647C53B" w14:textId="606FE24F" w:rsidR="00257FF6" w:rsidRDefault="00E05319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Most Economically Advantageous Tender</w:t>
            </w:r>
          </w:p>
        </w:tc>
        <w:tc>
          <w:tcPr>
            <w:tcW w:w="4508" w:type="dxa"/>
            <w:tcBorders>
              <w:right w:val="nil"/>
            </w:tcBorders>
          </w:tcPr>
          <w:p w14:paraId="7A66299E" w14:textId="352E5FB4" w:rsidR="00257FF6" w:rsidRDefault="00E05319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Marks</w:t>
            </w:r>
          </w:p>
        </w:tc>
      </w:tr>
      <w:tr w:rsidR="00257FF6" w14:paraId="17CC3557" w14:textId="77777777" w:rsidTr="00257FF6">
        <w:tc>
          <w:tcPr>
            <w:tcW w:w="4508" w:type="dxa"/>
          </w:tcPr>
          <w:p w14:paraId="06C82DE3" w14:textId="4D48EEEC" w:rsidR="00257FF6" w:rsidRDefault="00E05319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Price</w:t>
            </w:r>
          </w:p>
        </w:tc>
        <w:tc>
          <w:tcPr>
            <w:tcW w:w="4508" w:type="dxa"/>
          </w:tcPr>
          <w:p w14:paraId="48950421" w14:textId="62EA5FA2" w:rsidR="00257FF6" w:rsidRDefault="00E05319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  <w:r w:rsidR="00343540">
              <w:rPr>
                <w:rFonts w:ascii="Times New Roman" w:hAnsi="Times New Roman" w:cs="Times New Roman"/>
                <w:kern w:val="0"/>
                <w:sz w:val="20"/>
                <w:szCs w:val="20"/>
              </w:rPr>
              <w:t>5%</w:t>
            </w:r>
          </w:p>
        </w:tc>
      </w:tr>
      <w:tr w:rsidR="00257FF6" w14:paraId="1D083E5B" w14:textId="77777777" w:rsidTr="00257FF6">
        <w:tc>
          <w:tcPr>
            <w:tcW w:w="4508" w:type="dxa"/>
          </w:tcPr>
          <w:p w14:paraId="10270BCC" w14:textId="52182FB3" w:rsidR="00257FF6" w:rsidRDefault="00343540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Previo</w:t>
            </w:r>
            <w:r w:rsidR="006F7837">
              <w:rPr>
                <w:rFonts w:ascii="Times New Roman" w:hAnsi="Times New Roman" w:cs="Times New Roman"/>
                <w:kern w:val="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s Experience</w:t>
            </w:r>
            <w:r w:rsidR="006F7837">
              <w:rPr>
                <w:rFonts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</w:tc>
        <w:tc>
          <w:tcPr>
            <w:tcW w:w="4508" w:type="dxa"/>
          </w:tcPr>
          <w:p w14:paraId="44FC45A2" w14:textId="77777777" w:rsidR="00257FF6" w:rsidRDefault="00257FF6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57FF6" w14:paraId="3C6C6E53" w14:textId="77777777" w:rsidTr="00257FF6">
        <w:tc>
          <w:tcPr>
            <w:tcW w:w="4508" w:type="dxa"/>
          </w:tcPr>
          <w:p w14:paraId="604CEF1D" w14:textId="4E5CF94B" w:rsidR="00257FF6" w:rsidRDefault="006F7837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                               Project Management</w:t>
            </w:r>
          </w:p>
        </w:tc>
        <w:tc>
          <w:tcPr>
            <w:tcW w:w="4508" w:type="dxa"/>
          </w:tcPr>
          <w:p w14:paraId="027E255F" w14:textId="2157AE8F" w:rsidR="00257FF6" w:rsidRDefault="006F7837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5%</w:t>
            </w:r>
          </w:p>
        </w:tc>
      </w:tr>
      <w:tr w:rsidR="00257FF6" w14:paraId="4B1A04EE" w14:textId="77777777" w:rsidTr="00257FF6">
        <w:tc>
          <w:tcPr>
            <w:tcW w:w="4508" w:type="dxa"/>
          </w:tcPr>
          <w:p w14:paraId="26D14491" w14:textId="25C95708" w:rsidR="00257FF6" w:rsidRDefault="00FB5D92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                                Conservation Approach</w:t>
            </w:r>
          </w:p>
        </w:tc>
        <w:tc>
          <w:tcPr>
            <w:tcW w:w="4508" w:type="dxa"/>
          </w:tcPr>
          <w:p w14:paraId="4540340F" w14:textId="512CFF06" w:rsidR="00257FF6" w:rsidRDefault="00FB5D92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10%</w:t>
            </w:r>
          </w:p>
        </w:tc>
      </w:tr>
      <w:tr w:rsidR="00FB5D92" w14:paraId="65545E9C" w14:textId="77777777" w:rsidTr="00257FF6">
        <w:tc>
          <w:tcPr>
            <w:tcW w:w="4508" w:type="dxa"/>
          </w:tcPr>
          <w:p w14:paraId="35E84AB3" w14:textId="4DFC9831" w:rsidR="00FB5D92" w:rsidRDefault="00035094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Company Resources</w:t>
            </w:r>
          </w:p>
        </w:tc>
        <w:tc>
          <w:tcPr>
            <w:tcW w:w="4508" w:type="dxa"/>
          </w:tcPr>
          <w:p w14:paraId="2B8696CF" w14:textId="301AB474" w:rsidR="00FB5D92" w:rsidRDefault="00035094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10%</w:t>
            </w:r>
          </w:p>
        </w:tc>
      </w:tr>
      <w:tr w:rsidR="00035094" w14:paraId="1FCF0EC5" w14:textId="77777777" w:rsidTr="00257FF6">
        <w:tc>
          <w:tcPr>
            <w:tcW w:w="4508" w:type="dxa"/>
          </w:tcPr>
          <w:p w14:paraId="0105B364" w14:textId="61126124" w:rsidR="00035094" w:rsidRDefault="00035094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Total</w:t>
            </w:r>
          </w:p>
        </w:tc>
        <w:tc>
          <w:tcPr>
            <w:tcW w:w="4508" w:type="dxa"/>
          </w:tcPr>
          <w:p w14:paraId="52BFB6A7" w14:textId="1832BB3B" w:rsidR="00035094" w:rsidRDefault="00035094" w:rsidP="000353E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100%</w:t>
            </w:r>
          </w:p>
        </w:tc>
      </w:tr>
    </w:tbl>
    <w:p w14:paraId="1C61753A" w14:textId="786498CB" w:rsidR="000353E1" w:rsidRPr="000353E1" w:rsidRDefault="000353E1" w:rsidP="000353E1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221DF499" w14:textId="77777777" w:rsidR="000353E1" w:rsidRPr="00E4466F" w:rsidRDefault="000353E1" w:rsidP="003E424E">
      <w:pPr>
        <w:rPr>
          <w:rFonts w:ascii="Calibri" w:hAnsi="Calibri" w:cs="Calibri"/>
          <w:sz w:val="22"/>
          <w:szCs w:val="22"/>
        </w:rPr>
      </w:pPr>
    </w:p>
    <w:sectPr w:rsidR="000353E1" w:rsidRPr="00E44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B0D62"/>
    <w:multiLevelType w:val="multilevel"/>
    <w:tmpl w:val="1526D17E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177502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24E"/>
    <w:rsid w:val="00035094"/>
    <w:rsid w:val="000353E1"/>
    <w:rsid w:val="00097316"/>
    <w:rsid w:val="001A6952"/>
    <w:rsid w:val="00257FF6"/>
    <w:rsid w:val="002842C4"/>
    <w:rsid w:val="002A6267"/>
    <w:rsid w:val="0031039F"/>
    <w:rsid w:val="0032314A"/>
    <w:rsid w:val="00343540"/>
    <w:rsid w:val="0034443E"/>
    <w:rsid w:val="00387834"/>
    <w:rsid w:val="003A4F7C"/>
    <w:rsid w:val="003E107B"/>
    <w:rsid w:val="003E424E"/>
    <w:rsid w:val="003F2CB9"/>
    <w:rsid w:val="00414699"/>
    <w:rsid w:val="0041529F"/>
    <w:rsid w:val="004A32F9"/>
    <w:rsid w:val="004A3512"/>
    <w:rsid w:val="005E6C57"/>
    <w:rsid w:val="006923E4"/>
    <w:rsid w:val="006D4BA7"/>
    <w:rsid w:val="006F7837"/>
    <w:rsid w:val="007720A0"/>
    <w:rsid w:val="007941BE"/>
    <w:rsid w:val="00876DCD"/>
    <w:rsid w:val="0099365A"/>
    <w:rsid w:val="009F58EC"/>
    <w:rsid w:val="00AE5177"/>
    <w:rsid w:val="00AF0069"/>
    <w:rsid w:val="00B60B40"/>
    <w:rsid w:val="00B9688E"/>
    <w:rsid w:val="00BA31E3"/>
    <w:rsid w:val="00BF6526"/>
    <w:rsid w:val="00C66F04"/>
    <w:rsid w:val="00CB0197"/>
    <w:rsid w:val="00CE3AC1"/>
    <w:rsid w:val="00D02C22"/>
    <w:rsid w:val="00D271FD"/>
    <w:rsid w:val="00D760A9"/>
    <w:rsid w:val="00E05319"/>
    <w:rsid w:val="00E4466F"/>
    <w:rsid w:val="00E4602C"/>
    <w:rsid w:val="00EA5EC9"/>
    <w:rsid w:val="00F0024D"/>
    <w:rsid w:val="00F422DF"/>
    <w:rsid w:val="00F775E8"/>
    <w:rsid w:val="00FB41F5"/>
    <w:rsid w:val="00FB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1699"/>
  <w15:chartTrackingRefBased/>
  <w15:docId w15:val="{CA1E4981-BF1E-4920-B5D5-813E4B48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4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4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4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4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24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E4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leGrid">
    <w:name w:val="Table Grid"/>
    <w:basedOn w:val="TableNormal"/>
    <w:uiPriority w:val="39"/>
    <w:rsid w:val="00257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8fcec4-6751-4631-942b-4d40e06002d1" xsi:nil="true"/>
    <lcf76f155ced4ddcb4097134ff3c332f xmlns="8b058220-8f7a-4805-86b5-4cc6d7fab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65E61944149448091A801D182AAAC" ma:contentTypeVersion="12" ma:contentTypeDescription="Create a new document." ma:contentTypeScope="" ma:versionID="7596ce4b3d8b1acdc456815f3a1e7762">
  <xsd:schema xmlns:xsd="http://www.w3.org/2001/XMLSchema" xmlns:xs="http://www.w3.org/2001/XMLSchema" xmlns:p="http://schemas.microsoft.com/office/2006/metadata/properties" xmlns:ns2="8b058220-8f7a-4805-86b5-4cc6d7fab23a" xmlns:ns3="5a8fcec4-6751-4631-942b-4d40e06002d1" targetNamespace="http://schemas.microsoft.com/office/2006/metadata/properties" ma:root="true" ma:fieldsID="2430a25a3c7643d82d7a44410a02058c" ns2:_="" ns3:_="">
    <xsd:import namespace="8b058220-8f7a-4805-86b5-4cc6d7fab23a"/>
    <xsd:import namespace="5a8fcec4-6751-4631-942b-4d40e0600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058220-8f7a-4805-86b5-4cc6d7fab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59497ed-bba1-4a0c-929e-7deb5ef38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fcec4-6751-4631-942b-4d40e06002d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e7533a5-e2cf-4f98-9074-34ab5e69408f}" ma:internalName="TaxCatchAll" ma:showField="CatchAllData" ma:web="5a8fcec4-6751-4631-942b-4d40e0600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CA804-382A-4D86-8BF4-70113BF7DA7A}">
  <ds:schemaRefs>
    <ds:schemaRef ds:uri="http://schemas.microsoft.com/office/2006/metadata/properties"/>
    <ds:schemaRef ds:uri="http://schemas.microsoft.com/office/infopath/2007/PartnerControls"/>
    <ds:schemaRef ds:uri="5a8fcec4-6751-4631-942b-4d40e06002d1"/>
    <ds:schemaRef ds:uri="8b058220-8f7a-4805-86b5-4cc6d7fab23a"/>
  </ds:schemaRefs>
</ds:datastoreItem>
</file>

<file path=customXml/itemProps2.xml><?xml version="1.0" encoding="utf-8"?>
<ds:datastoreItem xmlns:ds="http://schemas.openxmlformats.org/officeDocument/2006/customXml" ds:itemID="{5326425E-8FBE-44B9-94CD-00A896C38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9C1A5-901E-47DB-AE2A-7E2468FB1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058220-8f7a-4805-86b5-4cc6d7fab23a"/>
    <ds:schemaRef ds:uri="5a8fcec4-6751-4631-942b-4d40e0600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Coffey Engineers</dc:creator>
  <cp:keywords/>
  <dc:description/>
  <cp:lastModifiedBy>Frank Coffey Engineers</cp:lastModifiedBy>
  <cp:revision>2</cp:revision>
  <dcterms:created xsi:type="dcterms:W3CDTF">2026-07-06T13:55:00Z</dcterms:created>
  <dcterms:modified xsi:type="dcterms:W3CDTF">2026-07-06T13:55:00Z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0x0101008EC65E61944149448091A801D182AAAC</vt:lpwstr>
  </property>
  <property fmtid="{D5CDD505-2E9C-101B-9397-08002B2CF9AE}" pid="3" name="MediaServiceImageTags">
    <vt:lpwstr/>
  </property>
</Properties>
</file>